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北京市文化市场综合执法总队《馆藏文物检查单》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馆藏文物管理情况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是否存在违法借用、交换、处置国有馆藏文物的行为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是否存在违法借用、交换、处置国有馆藏文物的行为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a未</w:t>
      </w:r>
      <w:r>
        <w:rPr>
          <w:rFonts w:hint="eastAsia" w:ascii="仿宋_GB2312" w:hAnsi="仿宋_GB2312" w:eastAsia="仿宋_GB2312" w:cs="仿宋_GB2312"/>
          <w:sz w:val="32"/>
          <w:szCs w:val="32"/>
        </w:rPr>
        <w:t>借用、交换、处置国有馆藏文物</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已经建立馆藏文物档案的国有文物收藏单位其馆藏文物在国有文物收藏单位之间交换，</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经省、自治区、直辖市人民政府文物行政部门批准，并报国务院文物行政部门备，；馆藏一级文物交换，</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经国务院文物行政部门批准。</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已经建立馆藏文物档案的国有文物收藏单位，</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经省、自治区、直辖市人民政府文物行政部门批准，并报国务院文物行政部门备案，</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其馆藏文物在国有文物收藏单位之间交换；馆藏一级文物交换</w:t>
      </w:r>
      <w:bookmarkStart w:id="0" w:name="_GoBack"/>
      <w:bookmarkEnd w:id="0"/>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经国务院文物行政部门批准。</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C2079"/>
    <w:rsid w:val="08E830E6"/>
    <w:rsid w:val="175C2079"/>
    <w:rsid w:val="32472A23"/>
    <w:rsid w:val="32F503D6"/>
    <w:rsid w:val="3B2D0502"/>
    <w:rsid w:val="656C5F4B"/>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2021-09-09T08:29:00Z</dcterms:created>
  <dc:creator>侯东岳</dc:creator>
  <cp:lastModifiedBy>侯东岳</cp:lastModifiedBy>
  <dcterms:modified xsi:type="dcterms:W3CDTF">2021-09-10T02:10:39Z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2FC1B224F1334B9AB255E3D764838BC5</vt:lpwstr>
  </property>
</Properties>
</file>